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3828" w14:textId="77777777" w:rsidR="00DC5214" w:rsidRDefault="00DC5214" w:rsidP="00DC5214">
      <w:pPr>
        <w:pStyle w:val="Default"/>
      </w:pPr>
    </w:p>
    <w:p w14:paraId="0B263B2A" w14:textId="77777777" w:rsidR="00DC5214" w:rsidRDefault="00DC5214" w:rsidP="00DC521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14. A feladat az antantra vonatkozik. </w:t>
      </w:r>
      <w:r>
        <w:rPr>
          <w:color w:val="auto"/>
          <w:sz w:val="23"/>
          <w:szCs w:val="23"/>
        </w:rPr>
        <w:t xml:space="preserve">(rövid) </w:t>
      </w:r>
    </w:p>
    <w:p w14:paraId="54B86B8F" w14:textId="77777777" w:rsidR="00DC5214" w:rsidRDefault="00DC5214" w:rsidP="00DC521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Hogyan </w:t>
      </w:r>
      <w:r>
        <w:rPr>
          <w:color w:val="auto"/>
          <w:sz w:val="23"/>
          <w:szCs w:val="23"/>
        </w:rPr>
        <w:t xml:space="preserve">és milyen eszközökkel bővítette a szövetségi rendszerét az antant? </w:t>
      </w:r>
      <w:r>
        <w:rPr>
          <w:b/>
          <w:bCs/>
          <w:color w:val="auto"/>
          <w:sz w:val="23"/>
          <w:szCs w:val="23"/>
        </w:rPr>
        <w:t xml:space="preserve">Foglalja össze </w:t>
      </w:r>
      <w:r>
        <w:rPr>
          <w:color w:val="auto"/>
          <w:sz w:val="23"/>
          <w:szCs w:val="23"/>
        </w:rPr>
        <w:t xml:space="preserve">a forrás, a térkép és a Történelmi atlasz segítségével! </w:t>
      </w:r>
      <w:r>
        <w:rPr>
          <w:b/>
          <w:bCs/>
          <w:color w:val="auto"/>
          <w:sz w:val="23"/>
          <w:szCs w:val="23"/>
        </w:rPr>
        <w:t xml:space="preserve">Térjen ki </w:t>
      </w:r>
      <w:r>
        <w:rPr>
          <w:color w:val="auto"/>
          <w:sz w:val="23"/>
          <w:szCs w:val="23"/>
        </w:rPr>
        <w:t xml:space="preserve">arra, hogy milyen ellentéteket eredményezett ez az antanton belül az I. világháború során! </w:t>
      </w:r>
    </w:p>
    <w:p w14:paraId="42033AB8" w14:textId="77777777" w:rsidR="00DC5214" w:rsidRDefault="00DC5214" w:rsidP="00DC5214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</w:p>
    <w:p w14:paraId="10F082A8" w14:textId="77777777" w:rsidR="00DC5214" w:rsidRDefault="00DC5214" w:rsidP="00DC5214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 xml:space="preserve">„Az antanthatalmak és Románia együttműködési szerződése Románia hadba lépéséről </w:t>
      </w:r>
    </w:p>
    <w:p w14:paraId="75D12A64" w14:textId="77777777" w:rsidR="00DC5214" w:rsidRDefault="00DC5214" w:rsidP="00DC5214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 xml:space="preserve">1. cikkely: Franciaország, Nagy-Britannia, Olaszország és Oroszország a Román Királyság területét a jelenlegi határai között minden tekintetben garantálja. </w:t>
      </w:r>
    </w:p>
    <w:p w14:paraId="7454237A" w14:textId="77777777" w:rsidR="00DC5214" w:rsidRDefault="00DC5214" w:rsidP="00DC5214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 xml:space="preserve">2. cikkely: Románia hadat üzen Ausztria-Magyarországnak és a jelen szerződés katonai egyezményében megállapított módon és feltételek szerint meg is indítja ellene a hadműveleteket. Románia a hadüzenettel egyidejűleg megszakítja minden gazdasági és kereskedelmi kapcsolatát az antanthatalmak ellenségeivel. </w:t>
      </w:r>
    </w:p>
    <w:p w14:paraId="5AE207EA" w14:textId="77777777" w:rsidR="00DC5214" w:rsidRDefault="00DC5214" w:rsidP="00DC5214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 xml:space="preserve">3. cikkely. Franciaország, Nagy-Britannia, Olaszország és Oroszország elismeri Románia jogát a 4. cikkelyben meghatározott, az Osztrák-Magyar Monarchiához tartozó területek bekebelezésére. [...] </w:t>
      </w:r>
    </w:p>
    <w:p w14:paraId="2C567AF2" w14:textId="77777777" w:rsidR="005073E9" w:rsidRDefault="00DC5214" w:rsidP="00DC5214">
      <w:pPr>
        <w:spacing w:line="240" w:lineRule="auto"/>
        <w:rPr>
          <w:sz w:val="23"/>
          <w:szCs w:val="23"/>
        </w:rPr>
      </w:pPr>
      <w:r>
        <w:rPr>
          <w:rFonts w:ascii="Book Antiqua" w:hAnsi="Book Antiqua" w:cs="Book Antiqua"/>
          <w:sz w:val="23"/>
          <w:szCs w:val="23"/>
        </w:rPr>
        <w:t xml:space="preserve">6. cikkely. Románia a béke előkészítésében, annak tárgyalásában, valamint azoknak a kérdéseknek a megvitatásában, amelyek a békekonferencia határozataival kapcsolatosak, ugyanolyan jogokat élvez, mint a többi szerződő fél.” </w:t>
      </w: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Együttműködési szerződés az antant és Románia között, 1916</w:t>
      </w:r>
      <w:r>
        <w:rPr>
          <w:sz w:val="23"/>
          <w:szCs w:val="23"/>
        </w:rPr>
        <w:t>)</w:t>
      </w:r>
    </w:p>
    <w:p w14:paraId="0CB74EB7" w14:textId="77777777" w:rsidR="00C548E9" w:rsidRPr="00C548E9" w:rsidRDefault="00C548E9" w:rsidP="00C548E9">
      <w:pPr>
        <w:spacing w:line="240" w:lineRule="auto"/>
        <w:rPr>
          <w:sz w:val="23"/>
          <w:szCs w:val="23"/>
        </w:rPr>
      </w:pPr>
      <w:r w:rsidRPr="00C548E9">
        <w:rPr>
          <w:noProof/>
          <w:sz w:val="23"/>
          <w:szCs w:val="23"/>
          <w:lang w:eastAsia="hu-HU"/>
        </w:rPr>
        <w:lastRenderedPageBreak/>
        <w:drawing>
          <wp:inline distT="0" distB="0" distL="0" distR="0" wp14:anchorId="363F5D99" wp14:editId="37F68CD3">
            <wp:extent cx="5760720" cy="693670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3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369D1" w14:textId="77777777" w:rsidR="00C548E9" w:rsidRDefault="00C548E9" w:rsidP="00C548E9">
      <w:pPr>
        <w:spacing w:line="240" w:lineRule="auto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Az antant területi ígéretei az első világháború alatt</w:t>
      </w:r>
    </w:p>
    <w:p w14:paraId="6E0F5EA0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5EAE08F3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559A309C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1747C4D0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375627DF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7F445459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lastRenderedPageBreak/>
        <w:tab/>
      </w:r>
    </w:p>
    <w:p w14:paraId="7B64DF54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67D8833D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782FA063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5628DF03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79006967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1FD8832A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502CA7B7" w14:textId="77777777" w:rsidR="00C548E9" w:rsidRPr="00C548E9" w:rsidRDefault="00C548E9" w:rsidP="00C548E9">
      <w:pPr>
        <w:tabs>
          <w:tab w:val="left" w:leader="dot" w:pos="8647"/>
        </w:tabs>
        <w:rPr>
          <w:b/>
          <w:sz w:val="24"/>
          <w:szCs w:val="24"/>
        </w:rPr>
      </w:pPr>
      <w:r w:rsidRPr="00C548E9">
        <w:rPr>
          <w:b/>
          <w:sz w:val="24"/>
          <w:szCs w:val="24"/>
        </w:rPr>
        <w:tab/>
      </w:r>
    </w:p>
    <w:p w14:paraId="5C2AFFEE" w14:textId="77777777" w:rsidR="00C548E9" w:rsidRDefault="00C548E9" w:rsidP="00C548E9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drawing>
          <wp:inline distT="0" distB="0" distL="0" distR="0" wp14:anchorId="0885571E" wp14:editId="7E6BD2EA">
            <wp:extent cx="5762625" cy="44481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92F3D" w14:textId="77777777" w:rsidR="00C548E9" w:rsidRDefault="00C548E9" w:rsidP="00C548E9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098763FB" wp14:editId="2A134929">
            <wp:extent cx="5753100" cy="25812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638F0" w14:textId="77777777" w:rsidR="00C548E9" w:rsidRPr="00C548E9" w:rsidRDefault="00C548E9" w:rsidP="00C548E9">
      <w:pPr>
        <w:spacing w:line="240" w:lineRule="auto"/>
        <w:rPr>
          <w:b/>
          <w:sz w:val="23"/>
          <w:szCs w:val="23"/>
        </w:rPr>
      </w:pPr>
    </w:p>
    <w:p w14:paraId="714319BD" w14:textId="77777777" w:rsidR="00DC5214" w:rsidRDefault="00DC5214" w:rsidP="00DC5214">
      <w:pPr>
        <w:spacing w:line="240" w:lineRule="auto"/>
      </w:pPr>
    </w:p>
    <w:sectPr w:rsidR="00DC5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14"/>
    <w:rsid w:val="00026B76"/>
    <w:rsid w:val="00027F04"/>
    <w:rsid w:val="00211ED5"/>
    <w:rsid w:val="0025702A"/>
    <w:rsid w:val="005073E9"/>
    <w:rsid w:val="007D46CB"/>
    <w:rsid w:val="00C548E9"/>
    <w:rsid w:val="00DC5214"/>
    <w:rsid w:val="00E30309"/>
    <w:rsid w:val="00F526DD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3AB5"/>
  <w15:chartTrackingRefBased/>
  <w15:docId w15:val="{F8EDF1F1-8B95-4399-93FA-88A85F2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DC5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2026-09-01T13:17:00Z</dcterms:created>
  <dcterms:modified xsi:type="dcterms:W3CDTF">2026-09-01T13:17:00Z</dcterms:modified>
</cp:coreProperties>
</file>