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43D06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b/>
          <w:bCs/>
          <w:sz w:val="32"/>
          <w:szCs w:val="32"/>
        </w:rPr>
        <w:t xml:space="preserve">16. </w:t>
      </w:r>
      <w:r w:rsidRPr="00971AD3">
        <w:rPr>
          <w:rFonts w:ascii="Times New Roman" w:hAnsi="Times New Roman" w:cs="Times New Roman"/>
          <w:b/>
          <w:bCs/>
          <w:sz w:val="24"/>
          <w:szCs w:val="24"/>
        </w:rPr>
        <w:t xml:space="preserve">A feladat Károly Róbert gazdaságpolitikájával kapcsolatos. </w:t>
      </w:r>
      <w:r w:rsidRPr="00971AD3">
        <w:rPr>
          <w:rFonts w:ascii="Times New Roman" w:hAnsi="Times New Roman" w:cs="Times New Roman"/>
          <w:sz w:val="24"/>
          <w:szCs w:val="24"/>
        </w:rPr>
        <w:t>(hosszú)</w:t>
      </w:r>
    </w:p>
    <w:p w14:paraId="1BA60ABD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AD3">
        <w:rPr>
          <w:rFonts w:ascii="Times New Roman" w:hAnsi="Times New Roman" w:cs="Times New Roman"/>
          <w:b/>
          <w:bCs/>
          <w:sz w:val="24"/>
          <w:szCs w:val="24"/>
        </w:rPr>
        <w:t>Mutassa be a források és ismeretei segítségével az uralkodó gazdaságpolitikájának</w:t>
      </w:r>
    </w:p>
    <w:p w14:paraId="4BF6BC5E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AD3">
        <w:rPr>
          <w:rFonts w:ascii="Times New Roman" w:hAnsi="Times New Roman" w:cs="Times New Roman"/>
          <w:b/>
          <w:bCs/>
          <w:sz w:val="24"/>
          <w:szCs w:val="24"/>
        </w:rPr>
        <w:t>főbb elemeit! Magyarázza meg a gazdaságpolitika és a királyi hatalom jellege</w:t>
      </w:r>
    </w:p>
    <w:p w14:paraId="53A53578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AD3">
        <w:rPr>
          <w:rFonts w:ascii="Times New Roman" w:hAnsi="Times New Roman" w:cs="Times New Roman"/>
          <w:b/>
          <w:bCs/>
          <w:sz w:val="24"/>
          <w:szCs w:val="24"/>
        </w:rPr>
        <w:t>közötti összefüggéseket!</w:t>
      </w:r>
    </w:p>
    <w:p w14:paraId="040115D6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AF7308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„Tudjátok meg, hogy országunk főpapjai, bárói és nemesei […] elénk járulva alázatosan</w:t>
      </w:r>
    </w:p>
    <w:p w14:paraId="3DDCCDE7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azt kérték tőlünk, hogy mivel kamaránk silány pénze országunk lakosságát</w:t>
      </w:r>
    </w:p>
    <w:p w14:paraId="5AD3E225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igen sújtja, országunk egykori jólétének helyreállítására s a közérdek javára maradandó</w:t>
      </w:r>
    </w:p>
    <w:p w14:paraId="0D978D5F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értékű és egész országunkban mindenütt forgó új, jó pénzt veressünk.”</w:t>
      </w:r>
    </w:p>
    <w:p w14:paraId="0A172685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71AD3">
        <w:rPr>
          <w:rFonts w:ascii="Times New Roman" w:hAnsi="Times New Roman" w:cs="Times New Roman"/>
          <w:i/>
          <w:iCs/>
          <w:sz w:val="24"/>
          <w:szCs w:val="24"/>
        </w:rPr>
        <w:t>(Károly Róbert rendelete, 1323)</w:t>
      </w:r>
    </w:p>
    <w:p w14:paraId="352D67DA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„Elrendeltük pedig, hogy a folyó évben forgalomban levő háromféle pénzünket […]</w:t>
      </w:r>
    </w:p>
    <w:p w14:paraId="29F5DE21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az egész országunkban egy és ugyanazon formában. Súlyban, finomságban és értékben</w:t>
      </w:r>
    </w:p>
    <w:p w14:paraId="585759D9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 xml:space="preserve">verjék és minden eltérés nélkül kerüljenek forgalomba és beváltásra.” </w:t>
      </w:r>
      <w:r w:rsidRPr="00971AD3">
        <w:rPr>
          <w:rFonts w:ascii="Times New Roman" w:hAnsi="Times New Roman" w:cs="Times New Roman"/>
          <w:i/>
          <w:iCs/>
          <w:sz w:val="24"/>
          <w:szCs w:val="24"/>
        </w:rPr>
        <w:t>(Károly</w:t>
      </w:r>
    </w:p>
    <w:p w14:paraId="2A1ECD13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71AD3">
        <w:rPr>
          <w:rFonts w:ascii="Times New Roman" w:hAnsi="Times New Roman" w:cs="Times New Roman"/>
          <w:i/>
          <w:iCs/>
          <w:sz w:val="24"/>
          <w:szCs w:val="24"/>
        </w:rPr>
        <w:t>Róbert rendelete, 1325)</w:t>
      </w:r>
    </w:p>
    <w:p w14:paraId="7AAE1350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„Határozván elrendeltük és parancsoljuk, hogy minden megyében, minden egyes</w:t>
      </w:r>
    </w:p>
    <w:p w14:paraId="0327D3DC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kapu után, amelyen szénával vagy gabonával megrakott szekér képes befordulni</w:t>
      </w:r>
    </w:p>
    <w:p w14:paraId="29F752B3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vagy azon át kijönni […] a kirovás megtörténte után 15 napon belül, a kamara haszna</w:t>
      </w:r>
    </w:p>
    <w:p w14:paraId="102C6437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címén, előbb említett kamaráknak 18 dénárt a kamarák ispánjának kezéhez kell</w:t>
      </w:r>
    </w:p>
    <w:p w14:paraId="120D4B87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 xml:space="preserve">szolgáltatni és fizetni.” </w:t>
      </w:r>
      <w:r w:rsidRPr="00971AD3">
        <w:rPr>
          <w:rFonts w:ascii="Times New Roman" w:hAnsi="Times New Roman" w:cs="Times New Roman"/>
          <w:i/>
          <w:iCs/>
          <w:sz w:val="24"/>
          <w:szCs w:val="24"/>
        </w:rPr>
        <w:t>(Károly Róbert 1342. évi dekrétuma)</w:t>
      </w:r>
    </w:p>
    <w:p w14:paraId="231740B4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„A király jelentős jövedelemre tett szert a fellendülő kereskedelem megvámolásából</w:t>
      </w:r>
    </w:p>
    <w:p w14:paraId="4E19F7E1" w14:textId="77777777" w:rsidR="00971AD3" w:rsidRPr="00971AD3" w:rsidRDefault="00971AD3" w:rsidP="00971AD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>is (harmincadvám). Az országba elsősorban iparcikkeket hoztak be, amit döntő</w:t>
      </w:r>
    </w:p>
    <w:p w14:paraId="55475F4F" w14:textId="77777777" w:rsidR="00DB310A" w:rsidRDefault="00971AD3" w:rsidP="00971AD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71AD3">
        <w:rPr>
          <w:rFonts w:ascii="Times New Roman" w:hAnsi="Times New Roman" w:cs="Times New Roman"/>
          <w:sz w:val="24"/>
          <w:szCs w:val="24"/>
        </w:rPr>
        <w:t xml:space="preserve">részben aranypénzzel ellentételeztek.” </w:t>
      </w:r>
      <w:r w:rsidRPr="00971AD3">
        <w:rPr>
          <w:rFonts w:ascii="Times New Roman" w:hAnsi="Times New Roman" w:cs="Times New Roman"/>
          <w:i/>
          <w:iCs/>
          <w:sz w:val="24"/>
          <w:szCs w:val="24"/>
        </w:rPr>
        <w:t>(Tankönyvi szöveg)</w:t>
      </w:r>
    </w:p>
    <w:p w14:paraId="2E203B1B" w14:textId="77777777" w:rsidR="00971AD3" w:rsidRDefault="00971AD3" w:rsidP="00971AD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58859BF" w14:textId="77777777" w:rsidR="00971AD3" w:rsidRDefault="00971AD3" w:rsidP="00971A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779FEEF" wp14:editId="7E35FD79">
            <wp:extent cx="5762625" cy="43529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7AD2E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4EBB1C7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ab/>
      </w:r>
    </w:p>
    <w:p w14:paraId="010FE0B6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592C492F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3006A38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1F792A1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1C0EB60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112A741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3A7393D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14B9DB8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0CEE7D67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44D9EED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0D6C104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9B784E7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0727293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1A25762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BFF063E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19F68D8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B85F020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C59C44E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ACCC585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CC24959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484A07E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F0DCE5A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FB21E9A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F4CAD7F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BA8B9C6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2EBDC91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D794F0F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1DAEEFB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370EE8D4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206D818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B9CEAB5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DE5015C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55721DEE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5F328E0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C73E50E" w14:textId="77777777" w:rsidR="00971AD3" w:rsidRDefault="00971AD3" w:rsidP="00971AD3">
      <w:pPr>
        <w:tabs>
          <w:tab w:val="left" w:leader="dot" w:pos="8647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hu-HU"/>
        </w:rPr>
        <w:lastRenderedPageBreak/>
        <w:drawing>
          <wp:inline distT="0" distB="0" distL="0" distR="0" wp14:anchorId="784A0550" wp14:editId="4ABABFBA">
            <wp:extent cx="5753100" cy="6363209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63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270F18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hu-HU"/>
        </w:rPr>
        <w:drawing>
          <wp:inline distT="0" distB="0" distL="0" distR="0" wp14:anchorId="795A3189" wp14:editId="142B5559">
            <wp:extent cx="5762625" cy="207645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7AF0B8" w14:textId="77777777" w:rsid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</w:p>
    <w:p w14:paraId="6571BD59" w14:textId="77777777" w:rsidR="00971AD3" w:rsidRPr="00971AD3" w:rsidRDefault="00971AD3" w:rsidP="00971AD3">
      <w:pPr>
        <w:tabs>
          <w:tab w:val="left" w:leader="dot" w:pos="8647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hu-HU"/>
        </w:rPr>
        <w:lastRenderedPageBreak/>
        <w:drawing>
          <wp:inline distT="0" distB="0" distL="0" distR="0" wp14:anchorId="5D76057B" wp14:editId="13BD2AD6">
            <wp:extent cx="5753100" cy="2733675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1AD3" w:rsidRPr="00971AD3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D3"/>
    <w:rsid w:val="001F1AF7"/>
    <w:rsid w:val="00304B4C"/>
    <w:rsid w:val="00814327"/>
    <w:rsid w:val="00880946"/>
    <w:rsid w:val="00971AD3"/>
    <w:rsid w:val="009D374D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6555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71A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1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2026-08-09T19:52:00Z</dcterms:created>
  <dcterms:modified xsi:type="dcterms:W3CDTF">2026-08-09T19:52:00Z</dcterms:modified>
</cp:coreProperties>
</file>